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宋体"/>
          <w:kern w:val="0"/>
          <w:sz w:val="36"/>
          <w:szCs w:val="36"/>
        </w:rPr>
      </w:pPr>
      <w:r>
        <w:rPr>
          <w:rFonts w:hint="eastAsia" w:ascii="微软雅黑" w:hAnsi="微软雅黑" w:eastAsia="微软雅黑" w:cs="宋体"/>
          <w:kern w:val="0"/>
          <w:sz w:val="36"/>
          <w:szCs w:val="36"/>
        </w:rPr>
        <w:t>用户</w:t>
      </w:r>
      <w:r>
        <w:rPr>
          <w:rFonts w:ascii="微软雅黑" w:hAnsi="微软雅黑" w:eastAsia="微软雅黑" w:cs="宋体"/>
          <w:kern w:val="0"/>
          <w:sz w:val="36"/>
          <w:szCs w:val="36"/>
        </w:rPr>
        <w:t>居民阶梯水价人口基数变更</w:t>
      </w:r>
    </w:p>
    <w:tbl>
      <w:tblPr>
        <w:tblStyle w:val="4"/>
        <w:tblW w:w="9733"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1707"/>
        <w:gridCol w:w="3037"/>
        <w:gridCol w:w="2418"/>
        <w:gridCol w:w="2571"/>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9733" w:type="dxa"/>
            <w:gridSpan w:val="4"/>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事项名称：</w:t>
            </w:r>
            <w:r>
              <w:rPr>
                <w:rFonts w:ascii="宋体" w:hAnsi="宋体" w:eastAsia="宋体" w:cs="宋体"/>
                <w:bCs/>
                <w:kern w:val="0"/>
                <w:sz w:val="24"/>
                <w:szCs w:val="24"/>
              </w:rPr>
              <w:t>居民阶梯水价人口基数变更</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别名</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无</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实施主体</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青岛高新海润水务有限公司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服务对象</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ascii="Wingdings 2" w:hAnsi="Wingdings 2" w:eastAsia="宋体" w:cs="宋体"/>
                <w:kern w:val="0"/>
                <w:sz w:val="24"/>
                <w:szCs w:val="24"/>
              </w:rPr>
              <w:t></w:t>
            </w:r>
            <w:r>
              <w:rPr>
                <w:rFonts w:hint="eastAsia" w:ascii="仿宋_GB2312" w:hAnsi="宋体" w:eastAsia="仿宋_GB2312" w:cs="宋体"/>
                <w:kern w:val="0"/>
                <w:sz w:val="24"/>
                <w:szCs w:val="24"/>
              </w:rPr>
              <w:t>个人  □单位 □个人和单位</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事项类别</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办理类</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职权类型</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无</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设立依据</w:t>
            </w:r>
          </w:p>
        </w:tc>
        <w:tc>
          <w:tcPr>
            <w:tcW w:w="8026" w:type="dxa"/>
            <w:gridSpan w:val="3"/>
            <w:tcBorders>
              <w:top w:val="single" w:color="000000" w:sz="8" w:space="0"/>
              <w:left w:val="single" w:color="000000" w:sz="8" w:space="0"/>
              <w:bottom w:val="single" w:color="000000" w:sz="8" w:space="0"/>
              <w:right w:val="single" w:color="000000" w:sz="8" w:space="0"/>
            </w:tcBorders>
          </w:tcPr>
          <w:p>
            <w:pPr>
              <w:spacing w:line="3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《青岛市城市供水条例》第三章 第二十五条规定：城市居民生活用水适时实行阶梯式计量水价。</w:t>
            </w:r>
          </w:p>
          <w:p>
            <w:pPr>
              <w:spacing w:line="3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青岛市物价局 青岛市城市管理局 青岛市财政局 青岛市民政局《关于青岛市市内三区建立居民用水阶梯价格制度和调整居民用水价格的通知》规定：居民阶梯水量每户按4人口计,超过4人的，每增加1人，年水量基数增加36立方米，具体人数及</w:t>
            </w:r>
            <w:r>
              <w:rPr>
                <w:rFonts w:ascii="仿宋_GB2312" w:hAnsi="宋体" w:eastAsia="仿宋_GB2312" w:cs="宋体"/>
                <w:kern w:val="0"/>
                <w:sz w:val="24"/>
                <w:szCs w:val="24"/>
              </w:rPr>
              <w:t>水量</w:t>
            </w:r>
            <w:r>
              <w:rPr>
                <w:rFonts w:hint="eastAsia" w:ascii="仿宋_GB2312" w:hAnsi="宋体" w:eastAsia="仿宋_GB2312" w:cs="宋体"/>
                <w:kern w:val="0"/>
                <w:sz w:val="24"/>
                <w:szCs w:val="24"/>
              </w:rPr>
              <w:t>增加的认定程序</w:t>
            </w:r>
            <w:r>
              <w:rPr>
                <w:rFonts w:ascii="仿宋_GB2312" w:hAnsi="宋体" w:eastAsia="仿宋_GB2312" w:cs="宋体"/>
                <w:kern w:val="0"/>
                <w:sz w:val="24"/>
                <w:szCs w:val="24"/>
              </w:rPr>
              <w:t>，</w:t>
            </w:r>
            <w:r>
              <w:rPr>
                <w:rFonts w:hint="eastAsia" w:ascii="仿宋_GB2312" w:hAnsi="宋体" w:eastAsia="仿宋_GB2312" w:cs="宋体"/>
                <w:kern w:val="0"/>
                <w:sz w:val="24"/>
                <w:szCs w:val="24"/>
              </w:rPr>
              <w:t>由供水企业在制定居民阶梯水价实施细则中予以</w:t>
            </w:r>
            <w:r>
              <w:rPr>
                <w:rFonts w:ascii="仿宋_GB2312" w:hAnsi="宋体" w:eastAsia="仿宋_GB2312" w:cs="宋体"/>
                <w:kern w:val="0"/>
                <w:sz w:val="24"/>
                <w:szCs w:val="24"/>
              </w:rPr>
              <w:t>明确</w:t>
            </w:r>
            <w:r>
              <w:rPr>
                <w:rFonts w:hint="eastAsia" w:ascii="仿宋_GB2312" w:hAnsi="宋体" w:eastAsia="仿宋_GB2312" w:cs="宋体"/>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办理条件</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高新海润水务管辖范围内客户居民阶梯水价用户用水人口发生改变时</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办理条件依据</w:t>
            </w:r>
          </w:p>
        </w:tc>
        <w:tc>
          <w:tcPr>
            <w:tcW w:w="8026" w:type="dxa"/>
            <w:gridSpan w:val="3"/>
            <w:tcBorders>
              <w:top w:val="single" w:color="000000" w:sz="8" w:space="0"/>
              <w:left w:val="single" w:color="000000" w:sz="8" w:space="0"/>
              <w:bottom w:val="single" w:color="000000" w:sz="8" w:space="0"/>
              <w:right w:val="single" w:color="000000" w:sz="8" w:space="0"/>
            </w:tcBorders>
          </w:tcPr>
          <w:p>
            <w:pPr>
              <w:spacing w:line="30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《青岛市城市供水条例》第三章 第二十五条规定：城市居民生活用水适时实行阶梯式计量水价。</w:t>
            </w:r>
          </w:p>
          <w:p>
            <w:pPr>
              <w:spacing w:line="3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青岛市物价局 青岛市城市管理局 青岛市财政局 青岛市民政局《关于青岛市市内三区建立居民用水阶梯价格制度和调整居民用水价格的通知》规定：居民阶梯水量每户按4人口计,超过4人的，每增加1人，年水量基数增加36立方米，具体人数及</w:t>
            </w:r>
            <w:r>
              <w:rPr>
                <w:rFonts w:ascii="仿宋_GB2312" w:hAnsi="宋体" w:eastAsia="仿宋_GB2312" w:cs="宋体"/>
                <w:kern w:val="0"/>
                <w:sz w:val="24"/>
                <w:szCs w:val="24"/>
              </w:rPr>
              <w:t>水量</w:t>
            </w:r>
            <w:r>
              <w:rPr>
                <w:rFonts w:hint="eastAsia" w:ascii="仿宋_GB2312" w:hAnsi="宋体" w:eastAsia="仿宋_GB2312" w:cs="宋体"/>
                <w:kern w:val="0"/>
                <w:sz w:val="24"/>
                <w:szCs w:val="24"/>
              </w:rPr>
              <w:t>增加的认定程序</w:t>
            </w:r>
            <w:r>
              <w:rPr>
                <w:rFonts w:ascii="仿宋_GB2312" w:hAnsi="宋体" w:eastAsia="仿宋_GB2312" w:cs="宋体"/>
                <w:kern w:val="0"/>
                <w:sz w:val="24"/>
                <w:szCs w:val="24"/>
              </w:rPr>
              <w:t>，</w:t>
            </w:r>
            <w:r>
              <w:rPr>
                <w:rFonts w:hint="eastAsia" w:ascii="仿宋_GB2312" w:hAnsi="宋体" w:eastAsia="仿宋_GB2312" w:cs="宋体"/>
                <w:kern w:val="0"/>
                <w:sz w:val="24"/>
                <w:szCs w:val="24"/>
              </w:rPr>
              <w:t>由供水企业在制定居民阶梯水价实施细则中予以</w:t>
            </w:r>
            <w:r>
              <w:rPr>
                <w:rFonts w:ascii="仿宋_GB2312" w:hAnsi="宋体" w:eastAsia="仿宋_GB2312" w:cs="宋体"/>
                <w:kern w:val="0"/>
                <w:sz w:val="24"/>
                <w:szCs w:val="24"/>
              </w:rPr>
              <w:t>明确</w:t>
            </w:r>
            <w:r>
              <w:rPr>
                <w:rFonts w:hint="eastAsia" w:ascii="仿宋_GB2312" w:hAnsi="宋体" w:eastAsia="仿宋_GB2312" w:cs="宋体"/>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申报材料</w:t>
            </w:r>
          </w:p>
        </w:tc>
        <w:tc>
          <w:tcPr>
            <w:tcW w:w="8026" w:type="dxa"/>
            <w:gridSpan w:val="3"/>
            <w:tcBorders>
              <w:top w:val="single" w:color="000000" w:sz="8" w:space="0"/>
              <w:left w:val="single" w:color="000000" w:sz="8" w:space="0"/>
              <w:bottom w:val="single" w:color="000000" w:sz="8" w:space="0"/>
              <w:right w:val="single" w:color="000000" w:sz="8" w:space="0"/>
            </w:tcBorders>
          </w:tcPr>
          <w:p>
            <w:pPr>
              <w:spacing w:line="320" w:lineRule="exact"/>
              <w:ind w:firstLine="480" w:firstLineChars="200"/>
              <w:rPr>
                <w:rFonts w:ascii="仿宋_GB2312" w:hAnsi="宋体" w:eastAsia="仿宋_GB2312" w:cs="宋体"/>
                <w:kern w:val="0"/>
                <w:sz w:val="24"/>
                <w:szCs w:val="24"/>
              </w:rPr>
            </w:pPr>
            <w:r>
              <w:rPr>
                <w:rFonts w:ascii="仿宋_GB2312" w:hAnsi="宋体" w:eastAsia="仿宋_GB2312" w:cs="宋体"/>
                <w:kern w:val="0"/>
                <w:sz w:val="24"/>
                <w:szCs w:val="24"/>
              </w:rPr>
              <w:t>《居民户口簿》（或《居住证》）原件和复印件（含索引页）、办理人员身份证原件和复印件等材料。委托经办人应提供身份证复印件</w:t>
            </w:r>
            <w:r>
              <w:rPr>
                <w:rFonts w:hint="eastAsia" w:ascii="仿宋_GB2312" w:hAnsi="宋体" w:eastAsia="仿宋_GB2312" w:cs="宋体"/>
                <w:kern w:val="0"/>
                <w:sz w:val="24"/>
                <w:szCs w:val="24"/>
              </w:rPr>
              <w:t>（如</w:t>
            </w:r>
            <w:r>
              <w:rPr>
                <w:rFonts w:ascii="仿宋_GB2312" w:hAnsi="宋体" w:eastAsia="仿宋_GB2312" w:cs="宋体"/>
                <w:kern w:val="0"/>
                <w:sz w:val="24"/>
                <w:szCs w:val="24"/>
              </w:rPr>
              <w:t>公租房、廉租房</w:t>
            </w:r>
            <w:r>
              <w:rPr>
                <w:rFonts w:hint="eastAsia" w:ascii="仿宋_GB2312" w:hAnsi="宋体" w:eastAsia="仿宋_GB2312" w:cs="宋体"/>
                <w:kern w:val="0"/>
                <w:sz w:val="24"/>
                <w:szCs w:val="24"/>
              </w:rPr>
              <w:t>客户，需</w:t>
            </w:r>
            <w:r>
              <w:rPr>
                <w:rFonts w:ascii="仿宋_GB2312" w:hAnsi="宋体" w:eastAsia="仿宋_GB2312" w:cs="宋体"/>
                <w:kern w:val="0"/>
                <w:sz w:val="24"/>
                <w:szCs w:val="24"/>
              </w:rPr>
              <w:t>公租房、廉租房租房合同</w:t>
            </w:r>
            <w:r>
              <w:rPr>
                <w:rFonts w:hint="eastAsia" w:ascii="仿宋_GB2312" w:hAnsi="宋体" w:eastAsia="仿宋_GB2312" w:cs="宋体"/>
                <w:kern w:val="0"/>
                <w:sz w:val="24"/>
                <w:szCs w:val="24"/>
              </w:rPr>
              <w:t>）</w:t>
            </w:r>
            <w:r>
              <w:rPr>
                <w:rFonts w:ascii="仿宋_GB2312" w:hAnsi="宋体" w:eastAsia="仿宋_GB2312" w:cs="宋体"/>
                <w:kern w:val="0"/>
                <w:sz w:val="24"/>
                <w:szCs w:val="24"/>
              </w:rPr>
              <w:t>。</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办理程序</w:t>
            </w:r>
          </w:p>
        </w:tc>
        <w:tc>
          <w:tcPr>
            <w:tcW w:w="8026" w:type="dxa"/>
            <w:gridSpan w:val="3"/>
            <w:tcBorders>
              <w:top w:val="single" w:color="000000" w:sz="8" w:space="0"/>
              <w:left w:val="single" w:color="000000" w:sz="8" w:space="0"/>
              <w:bottom w:val="single" w:color="000000" w:sz="8" w:space="0"/>
              <w:right w:val="single" w:color="000000" w:sz="8" w:space="0"/>
            </w:tcBorders>
          </w:tcPr>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（一）用户申请。将客户名称、联系人及联系电话、申请材料等进行系统登记，并拍照留存。</w:t>
            </w:r>
          </w:p>
          <w:p>
            <w:pPr>
              <w:spacing w:line="32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（二）确认客户无拖欠水费或违章用水、审核材料齐全、填写无误，符合条件方可受理。</w:t>
            </w:r>
          </w:p>
          <w:p>
            <w:pPr>
              <w:spacing w:line="32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对于情况特殊，未能提供户口簿、房屋合同的，或资料不完整的，可安排外勤人员现场落实，并根据实际情况予以处理。</w:t>
            </w:r>
          </w:p>
          <w:p>
            <w:pPr>
              <w:spacing w:line="320" w:lineRule="exact"/>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（三）系统调整。变更自客户申请次月起生效，系统将自动调整客户相关信息。</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收费标准及依据</w:t>
            </w:r>
          </w:p>
        </w:tc>
        <w:tc>
          <w:tcPr>
            <w:tcW w:w="8026" w:type="dxa"/>
            <w:gridSpan w:val="3"/>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rPr>
                <w:rFonts w:ascii="宋体" w:hAnsi="宋体" w:eastAsia="宋体" w:cs="宋体"/>
                <w:kern w:val="0"/>
                <w:sz w:val="24"/>
                <w:szCs w:val="24"/>
              </w:rPr>
            </w:pPr>
            <w:r>
              <w:rPr>
                <w:rFonts w:ascii="Wingdings 2" w:hAnsi="Wingdings 2" w:eastAsia="宋体" w:cs="宋体"/>
                <w:kern w:val="0"/>
                <w:sz w:val="24"/>
                <w:szCs w:val="24"/>
              </w:rPr>
              <w:t></w:t>
            </w:r>
            <w:r>
              <w:rPr>
                <w:rFonts w:hint="eastAsia" w:ascii="仿宋_GB2312" w:hAnsi="宋体" w:eastAsia="仿宋_GB2312" w:cs="宋体"/>
                <w:kern w:val="0"/>
                <w:sz w:val="24"/>
                <w:szCs w:val="24"/>
              </w:rPr>
              <w:t>不收费；</w:t>
            </w:r>
          </w:p>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kern w:val="0"/>
                <w:sz w:val="24"/>
                <w:szCs w:val="24"/>
              </w:rPr>
              <w:t>□依据《___</w:t>
            </w:r>
            <w:r>
              <w:rPr>
                <w:rFonts w:hint="eastAsia" w:ascii="仿宋_GB2312" w:hAnsi="宋体" w:eastAsia="仿宋_GB2312" w:cs="宋体"/>
                <w:kern w:val="0"/>
                <w:sz w:val="24"/>
                <w:szCs w:val="24"/>
                <w:u w:val="single"/>
              </w:rPr>
              <w:t>    _</w:t>
            </w:r>
            <w:r>
              <w:rPr>
                <w:rFonts w:hint="eastAsia" w:ascii="仿宋_GB2312" w:hAnsi="宋体" w:eastAsia="仿宋_GB2312" w:cs="宋体"/>
                <w:kern w:val="0"/>
                <w:sz w:val="24"/>
                <w:szCs w:val="24"/>
              </w:rPr>
              <w:t>》规定，</w:t>
            </w:r>
            <w:r>
              <w:rPr>
                <w:rFonts w:hint="eastAsia" w:ascii="仿宋_GB2312" w:hAnsi="宋体" w:eastAsia="仿宋_GB2312" w:cs="宋体"/>
                <w:kern w:val="0"/>
                <w:sz w:val="24"/>
                <w:szCs w:val="24"/>
                <w:u w:val="single"/>
              </w:rPr>
              <w:t>___   </w:t>
            </w:r>
            <w:r>
              <w:rPr>
                <w:rFonts w:hint="eastAsia" w:ascii="仿宋_GB2312" w:hAnsi="宋体" w:eastAsia="仿宋_GB2312" w:cs="宋体"/>
                <w:kern w:val="0"/>
                <w:sz w:val="24"/>
                <w:szCs w:val="24"/>
              </w:rPr>
              <w:t>（收费项目名称）收费__</w:t>
            </w:r>
            <w:r>
              <w:rPr>
                <w:rFonts w:hint="eastAsia" w:ascii="仿宋_GB2312" w:hAnsi="宋体" w:eastAsia="仿宋_GB2312" w:cs="宋体"/>
                <w:kern w:val="0"/>
                <w:sz w:val="24"/>
                <w:szCs w:val="24"/>
                <w:u w:val="single"/>
              </w:rPr>
              <w:t> </w:t>
            </w:r>
            <w:r>
              <w:rPr>
                <w:rFonts w:hint="eastAsia" w:ascii="仿宋_GB2312" w:hAnsi="宋体" w:eastAsia="仿宋_GB2312" w:cs="宋体"/>
                <w:kern w:val="0"/>
                <w:sz w:val="24"/>
                <w:szCs w:val="24"/>
              </w:rPr>
              <w:t>_元；</w:t>
            </w:r>
          </w:p>
          <w:p>
            <w:pPr>
              <w:widowControl/>
              <w:spacing w:before="100" w:beforeAutospacing="1" w:after="100" w:afterAutospacing="1"/>
              <w:ind w:firstLine="315"/>
              <w:jc w:val="left"/>
              <w:rPr>
                <w:rFonts w:ascii="宋体" w:hAnsi="宋体" w:eastAsia="宋体" w:cs="宋体"/>
                <w:kern w:val="0"/>
                <w:sz w:val="24"/>
                <w:szCs w:val="24"/>
              </w:rPr>
            </w:pPr>
            <w:r>
              <w:rPr>
                <w:rFonts w:hint="eastAsia" w:ascii="仿宋_GB2312" w:hAnsi="宋体" w:eastAsia="仿宋_GB2312" w:cs="宋体"/>
                <w:kern w:val="0"/>
                <w:sz w:val="24"/>
                <w:szCs w:val="24"/>
              </w:rPr>
              <w:t>如果符合___</w:t>
            </w:r>
            <w:r>
              <w:rPr>
                <w:rFonts w:hint="eastAsia" w:ascii="仿宋_GB2312" w:hAnsi="宋体" w:eastAsia="仿宋_GB2312" w:cs="宋体"/>
                <w:kern w:val="0"/>
                <w:sz w:val="24"/>
                <w:szCs w:val="24"/>
                <w:u w:val="single"/>
              </w:rPr>
              <w:t>_       </w:t>
            </w:r>
            <w:r>
              <w:rPr>
                <w:rFonts w:hint="eastAsia" w:ascii="仿宋_GB2312" w:hAnsi="宋体" w:eastAsia="仿宋_GB2312" w:cs="宋体"/>
                <w:kern w:val="0"/>
                <w:sz w:val="24"/>
                <w:szCs w:val="24"/>
              </w:rPr>
              <w:t>条件（优惠、减免条件），收费</w:t>
            </w:r>
            <w:r>
              <w:rPr>
                <w:rFonts w:hint="eastAsia" w:ascii="仿宋_GB2312" w:hAnsi="宋体" w:eastAsia="仿宋_GB2312" w:cs="宋体"/>
                <w:kern w:val="0"/>
                <w:sz w:val="24"/>
                <w:szCs w:val="24"/>
                <w:u w:val="single"/>
              </w:rPr>
              <w:t>_  </w:t>
            </w:r>
            <w:r>
              <w:rPr>
                <w:rFonts w:hint="eastAsia" w:ascii="仿宋_GB2312" w:hAnsi="宋体" w:eastAsia="仿宋_GB2312" w:cs="宋体"/>
                <w:kern w:val="0"/>
                <w:sz w:val="24"/>
                <w:szCs w:val="24"/>
              </w:rPr>
              <w:t>元；</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170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center"/>
              <w:rPr>
                <w:rFonts w:ascii="宋体" w:hAnsi="宋体" w:eastAsia="宋体" w:cs="宋体"/>
                <w:kern w:val="0"/>
                <w:sz w:val="24"/>
                <w:szCs w:val="24"/>
              </w:rPr>
            </w:pPr>
          </w:p>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承诺期限</w:t>
            </w:r>
          </w:p>
        </w:tc>
        <w:tc>
          <w:tcPr>
            <w:tcW w:w="8026" w:type="dxa"/>
            <w:gridSpan w:val="3"/>
            <w:tcBorders>
              <w:top w:val="single" w:color="000000" w:sz="8" w:space="0"/>
              <w:left w:val="single" w:color="000000" w:sz="8" w:space="0"/>
              <w:bottom w:val="single" w:color="000000" w:sz="8" w:space="0"/>
              <w:right w:val="single" w:color="000000" w:sz="8" w:space="0"/>
            </w:tcBorders>
          </w:tcPr>
          <w:p>
            <w:pPr>
              <w:spacing w:line="320" w:lineRule="exact"/>
              <w:ind w:firstLine="480" w:firstLineChars="200"/>
              <w:jc w:val="center"/>
              <w:rPr>
                <w:rFonts w:ascii="仿宋_GB2312" w:hAnsi="宋体" w:eastAsia="仿宋_GB2312" w:cs="宋体"/>
                <w:kern w:val="0"/>
                <w:sz w:val="24"/>
                <w:szCs w:val="24"/>
              </w:rPr>
            </w:pPr>
          </w:p>
          <w:p>
            <w:pPr>
              <w:widowControl/>
              <w:spacing w:before="100" w:beforeAutospacing="1" w:after="100" w:afterAutospacing="1"/>
              <w:rPr>
                <w:rFonts w:ascii="宋体" w:hAnsi="宋体" w:eastAsia="宋体" w:cs="宋体"/>
                <w:color w:val="FF0000"/>
                <w:kern w:val="0"/>
                <w:sz w:val="24"/>
                <w:szCs w:val="24"/>
              </w:rPr>
            </w:pPr>
            <w:r>
              <w:rPr>
                <w:rFonts w:hint="eastAsia" w:ascii="仿宋_GB2312" w:hAnsi="宋体" w:eastAsia="仿宋_GB2312" w:cs="宋体"/>
                <w:kern w:val="0"/>
                <w:sz w:val="24"/>
                <w:szCs w:val="24"/>
              </w:rPr>
              <w:t>资料齐全的当场办理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办理地点</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color w:val="000000" w:themeColor="text1"/>
                <w:kern w:val="0"/>
                <w:sz w:val="24"/>
                <w:szCs w:val="24"/>
              </w:rPr>
              <w:t>青岛市高新技术产业开发区河东路以北、岙东路以东高新水务一楼客服大厅</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办公时间</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仿宋_GB2312" w:hAnsi="宋体" w:eastAsia="仿宋_GB2312" w:cs="宋体"/>
                <w:color w:val="000000" w:themeColor="text1"/>
                <w:kern w:val="0"/>
                <w:sz w:val="24"/>
                <w:szCs w:val="24"/>
              </w:rPr>
              <w:t>周一至周五:8：30</w:t>
            </w:r>
            <w:r>
              <w:rPr>
                <w:rFonts w:ascii="仿宋_GB2312" w:hAnsi="宋体" w:eastAsia="仿宋_GB2312" w:cs="宋体"/>
                <w:color w:val="000000" w:themeColor="text1"/>
                <w:kern w:val="0"/>
                <w:sz w:val="24"/>
                <w:szCs w:val="24"/>
              </w:rPr>
              <w:t>—</w:t>
            </w:r>
            <w:r>
              <w:rPr>
                <w:rFonts w:hint="eastAsia" w:ascii="仿宋_GB2312" w:hAnsi="宋体" w:eastAsia="仿宋_GB2312" w:cs="宋体"/>
                <w:color w:val="000000" w:themeColor="text1"/>
                <w:kern w:val="0"/>
                <w:sz w:val="24"/>
                <w:szCs w:val="24"/>
              </w:rPr>
              <w:t>17:00（法定节假日除外）</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联系电话</w:t>
            </w:r>
          </w:p>
        </w:tc>
        <w:tc>
          <w:tcPr>
            <w:tcW w:w="3037" w:type="dxa"/>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hint="eastAsia" w:ascii="宋体" w:hAnsi="宋体" w:eastAsia="仿宋_GB2312" w:cs="宋体"/>
                <w:kern w:val="0"/>
                <w:sz w:val="24"/>
                <w:szCs w:val="24"/>
                <w:lang w:val="en-US" w:eastAsia="zh-CN"/>
              </w:rPr>
            </w:pPr>
            <w:r>
              <w:rPr>
                <w:rFonts w:hint="eastAsia" w:ascii="仿宋_GB2312" w:hAnsi="宋体" w:eastAsia="仿宋_GB2312" w:cs="宋体"/>
                <w:kern w:val="0"/>
                <w:sz w:val="24"/>
                <w:szCs w:val="24"/>
              </w:rPr>
              <w:t>6868707</w:t>
            </w:r>
            <w:r>
              <w:rPr>
                <w:rFonts w:hint="eastAsia" w:ascii="仿宋_GB2312" w:hAnsi="宋体" w:eastAsia="仿宋_GB2312" w:cs="宋体"/>
                <w:kern w:val="0"/>
                <w:sz w:val="24"/>
                <w:szCs w:val="24"/>
                <w:lang w:val="en-US" w:eastAsia="zh-CN"/>
              </w:rPr>
              <w:t>0</w:t>
            </w:r>
          </w:p>
        </w:tc>
        <w:tc>
          <w:tcPr>
            <w:tcW w:w="2418"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监督电话</w:t>
            </w:r>
          </w:p>
        </w:tc>
        <w:tc>
          <w:tcPr>
            <w:tcW w:w="2571"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left"/>
              <w:rPr>
                <w:rFonts w:ascii="宋体" w:hAnsi="宋体" w:eastAsia="宋体" w:cs="宋体"/>
                <w:kern w:val="0"/>
                <w:sz w:val="24"/>
                <w:szCs w:val="24"/>
              </w:rPr>
            </w:pPr>
            <w:bookmarkStart w:id="0" w:name="_GoBack"/>
            <w:bookmarkEnd w:id="0"/>
            <w:r>
              <w:rPr>
                <w:rFonts w:hint="eastAsia" w:ascii="仿宋_GB2312" w:hAnsi="宋体" w:eastAsia="仿宋_GB2312" w:cs="宋体"/>
                <w:kern w:val="0"/>
                <w:sz w:val="24"/>
                <w:szCs w:val="24"/>
              </w:rPr>
              <w:t>96111</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rPr>
          <w:jc w:val="center"/>
        </w:trPr>
        <w:tc>
          <w:tcPr>
            <w:tcW w:w="1707" w:type="dxa"/>
            <w:tcBorders>
              <w:top w:val="single" w:color="000000" w:sz="8" w:space="0"/>
              <w:left w:val="single" w:color="000000" w:sz="8" w:space="0"/>
              <w:bottom w:val="single" w:color="000000" w:sz="8" w:space="0"/>
              <w:right w:val="single" w:color="000000" w:sz="8" w:space="0"/>
            </w:tcBorders>
            <w:vAlign w:val="center"/>
          </w:tcPr>
          <w:p>
            <w:pPr>
              <w:widowControl/>
              <w:spacing w:before="100" w:beforeAutospacing="1" w:after="100" w:afterAutospacing="1"/>
              <w:jc w:val="center"/>
              <w:rPr>
                <w:rFonts w:ascii="宋体" w:hAnsi="宋体" w:eastAsia="宋体" w:cs="宋体"/>
                <w:kern w:val="0"/>
                <w:sz w:val="24"/>
                <w:szCs w:val="24"/>
              </w:rPr>
            </w:pPr>
            <w:r>
              <w:rPr>
                <w:rFonts w:hint="eastAsia" w:ascii="宋体" w:hAnsi="宋体" w:eastAsia="宋体" w:cs="宋体"/>
                <w:b/>
                <w:bCs/>
                <w:kern w:val="0"/>
                <w:sz w:val="24"/>
                <w:szCs w:val="24"/>
              </w:rPr>
              <w:t>表格下载</w:t>
            </w:r>
          </w:p>
        </w:tc>
        <w:tc>
          <w:tcPr>
            <w:tcW w:w="8026" w:type="dxa"/>
            <w:gridSpan w:val="3"/>
            <w:tcBorders>
              <w:top w:val="single" w:color="000000" w:sz="8" w:space="0"/>
              <w:left w:val="single" w:color="000000" w:sz="8" w:space="0"/>
              <w:bottom w:val="single" w:color="000000" w:sz="8" w:space="0"/>
              <w:right w:val="single" w:color="000000" w:sz="8" w:space="0"/>
            </w:tcBorders>
          </w:tcPr>
          <w:p>
            <w:pPr>
              <w:widowControl/>
              <w:spacing w:before="100" w:beforeAutospacing="1" w:after="100" w:afterAutospacing="1"/>
              <w:jc w:val="left"/>
              <w:rPr>
                <w:rFonts w:ascii="宋体" w:hAnsi="宋体" w:eastAsia="宋体" w:cs="宋体"/>
                <w:kern w:val="0"/>
                <w:sz w:val="24"/>
                <w:szCs w:val="24"/>
              </w:rPr>
            </w:pPr>
            <w:r>
              <w:rPr>
                <w:rFonts w:hint="eastAsia" w:ascii="宋体" w:hAnsi="宋体" w:eastAsia="宋体" w:cs="宋体"/>
                <w:b/>
                <w:bCs/>
                <w:kern w:val="0"/>
                <w:sz w:val="24"/>
                <w:szCs w:val="24"/>
              </w:rPr>
              <w:t>见附件</w:t>
            </w:r>
          </w:p>
        </w:tc>
      </w:tr>
    </w:tbl>
    <w:p>
      <w:pPr>
        <w:spacing w:line="360" w:lineRule="exact"/>
        <w:jc w:val="center"/>
        <w:rPr>
          <w:rFonts w:ascii="黑体" w:hAnsi="黑体" w:eastAsia="黑体"/>
          <w:spacing w:val="-2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MxMTViOGRjMzY2MTFkY2I2OTcwNjQ3ZTE1MmRhYjUifQ=="/>
  </w:docVars>
  <w:rsids>
    <w:rsidRoot w:val="009F3261"/>
    <w:rsid w:val="0002225F"/>
    <w:rsid w:val="00022505"/>
    <w:rsid w:val="00023992"/>
    <w:rsid w:val="00024395"/>
    <w:rsid w:val="00036FEA"/>
    <w:rsid w:val="00086402"/>
    <w:rsid w:val="00091FC9"/>
    <w:rsid w:val="000A5E69"/>
    <w:rsid w:val="000C1E99"/>
    <w:rsid w:val="000F13E0"/>
    <w:rsid w:val="0011203C"/>
    <w:rsid w:val="00117BC2"/>
    <w:rsid w:val="00140A8E"/>
    <w:rsid w:val="00154565"/>
    <w:rsid w:val="0015501F"/>
    <w:rsid w:val="001828FC"/>
    <w:rsid w:val="001D49D1"/>
    <w:rsid w:val="001D4AEE"/>
    <w:rsid w:val="001D5826"/>
    <w:rsid w:val="001F0C7A"/>
    <w:rsid w:val="001F5EF9"/>
    <w:rsid w:val="00214B41"/>
    <w:rsid w:val="00260EED"/>
    <w:rsid w:val="00266C67"/>
    <w:rsid w:val="00272F0E"/>
    <w:rsid w:val="00273F7F"/>
    <w:rsid w:val="002936C4"/>
    <w:rsid w:val="002F445D"/>
    <w:rsid w:val="002F4551"/>
    <w:rsid w:val="00303F91"/>
    <w:rsid w:val="00333121"/>
    <w:rsid w:val="00336073"/>
    <w:rsid w:val="00364AEB"/>
    <w:rsid w:val="00373652"/>
    <w:rsid w:val="00403736"/>
    <w:rsid w:val="004043B6"/>
    <w:rsid w:val="00415617"/>
    <w:rsid w:val="0044008C"/>
    <w:rsid w:val="004501E5"/>
    <w:rsid w:val="004620E7"/>
    <w:rsid w:val="00462157"/>
    <w:rsid w:val="0046683B"/>
    <w:rsid w:val="004802F7"/>
    <w:rsid w:val="004B7C98"/>
    <w:rsid w:val="004E078A"/>
    <w:rsid w:val="004F3B44"/>
    <w:rsid w:val="00541063"/>
    <w:rsid w:val="00576B78"/>
    <w:rsid w:val="005966AF"/>
    <w:rsid w:val="005C1BE8"/>
    <w:rsid w:val="005D15C1"/>
    <w:rsid w:val="005D6344"/>
    <w:rsid w:val="00630237"/>
    <w:rsid w:val="00633CBB"/>
    <w:rsid w:val="0064586F"/>
    <w:rsid w:val="00654F2A"/>
    <w:rsid w:val="00666C66"/>
    <w:rsid w:val="00667FC6"/>
    <w:rsid w:val="00680795"/>
    <w:rsid w:val="00697523"/>
    <w:rsid w:val="006B386D"/>
    <w:rsid w:val="006C4734"/>
    <w:rsid w:val="006D2F3E"/>
    <w:rsid w:val="006E3D1C"/>
    <w:rsid w:val="006E7002"/>
    <w:rsid w:val="0071340E"/>
    <w:rsid w:val="00725AC1"/>
    <w:rsid w:val="00732160"/>
    <w:rsid w:val="0073719E"/>
    <w:rsid w:val="007377C1"/>
    <w:rsid w:val="00747DDE"/>
    <w:rsid w:val="00750A35"/>
    <w:rsid w:val="00780E44"/>
    <w:rsid w:val="007957B6"/>
    <w:rsid w:val="007B4526"/>
    <w:rsid w:val="007C2456"/>
    <w:rsid w:val="007C7BD1"/>
    <w:rsid w:val="007D218F"/>
    <w:rsid w:val="007D39C2"/>
    <w:rsid w:val="007E625A"/>
    <w:rsid w:val="00814AA8"/>
    <w:rsid w:val="00835B4F"/>
    <w:rsid w:val="008438B9"/>
    <w:rsid w:val="0085069C"/>
    <w:rsid w:val="008511CB"/>
    <w:rsid w:val="00860731"/>
    <w:rsid w:val="00860CD7"/>
    <w:rsid w:val="008925D9"/>
    <w:rsid w:val="00893324"/>
    <w:rsid w:val="008A7D87"/>
    <w:rsid w:val="008B2935"/>
    <w:rsid w:val="008C16FD"/>
    <w:rsid w:val="008C2F9A"/>
    <w:rsid w:val="008C3814"/>
    <w:rsid w:val="008C3BEC"/>
    <w:rsid w:val="008E4953"/>
    <w:rsid w:val="008F177A"/>
    <w:rsid w:val="00912DF0"/>
    <w:rsid w:val="00914C20"/>
    <w:rsid w:val="009272BF"/>
    <w:rsid w:val="00973007"/>
    <w:rsid w:val="00980E23"/>
    <w:rsid w:val="00985128"/>
    <w:rsid w:val="009852F3"/>
    <w:rsid w:val="009914E9"/>
    <w:rsid w:val="009A01C2"/>
    <w:rsid w:val="009B0404"/>
    <w:rsid w:val="009C1891"/>
    <w:rsid w:val="009F3261"/>
    <w:rsid w:val="00A07CB1"/>
    <w:rsid w:val="00A113FF"/>
    <w:rsid w:val="00A207B2"/>
    <w:rsid w:val="00A22473"/>
    <w:rsid w:val="00A2633C"/>
    <w:rsid w:val="00A3495B"/>
    <w:rsid w:val="00A5535B"/>
    <w:rsid w:val="00A62BC3"/>
    <w:rsid w:val="00A67348"/>
    <w:rsid w:val="00A76EFB"/>
    <w:rsid w:val="00A81BFE"/>
    <w:rsid w:val="00A82BFF"/>
    <w:rsid w:val="00A909B2"/>
    <w:rsid w:val="00A9349C"/>
    <w:rsid w:val="00AE13C9"/>
    <w:rsid w:val="00AE4E7A"/>
    <w:rsid w:val="00AE5417"/>
    <w:rsid w:val="00B02B5C"/>
    <w:rsid w:val="00B06C1C"/>
    <w:rsid w:val="00B16F5C"/>
    <w:rsid w:val="00B26834"/>
    <w:rsid w:val="00B302AA"/>
    <w:rsid w:val="00B41680"/>
    <w:rsid w:val="00B7314D"/>
    <w:rsid w:val="00B76C53"/>
    <w:rsid w:val="00B84148"/>
    <w:rsid w:val="00B84FCD"/>
    <w:rsid w:val="00B95893"/>
    <w:rsid w:val="00BA1F62"/>
    <w:rsid w:val="00BB2DE7"/>
    <w:rsid w:val="00BE3FCB"/>
    <w:rsid w:val="00BF2882"/>
    <w:rsid w:val="00C2317E"/>
    <w:rsid w:val="00C23581"/>
    <w:rsid w:val="00C239E1"/>
    <w:rsid w:val="00C24157"/>
    <w:rsid w:val="00C27F14"/>
    <w:rsid w:val="00C30186"/>
    <w:rsid w:val="00C53219"/>
    <w:rsid w:val="00C827E5"/>
    <w:rsid w:val="00C920FE"/>
    <w:rsid w:val="00CA76D1"/>
    <w:rsid w:val="00CC33E0"/>
    <w:rsid w:val="00CD5946"/>
    <w:rsid w:val="00D03B89"/>
    <w:rsid w:val="00D0751C"/>
    <w:rsid w:val="00D10FAF"/>
    <w:rsid w:val="00D12094"/>
    <w:rsid w:val="00D176EF"/>
    <w:rsid w:val="00D57460"/>
    <w:rsid w:val="00D60228"/>
    <w:rsid w:val="00DC464C"/>
    <w:rsid w:val="00DD0DA6"/>
    <w:rsid w:val="00DD323F"/>
    <w:rsid w:val="00DE3AD7"/>
    <w:rsid w:val="00E008E9"/>
    <w:rsid w:val="00E17764"/>
    <w:rsid w:val="00E63FFC"/>
    <w:rsid w:val="00E74AB7"/>
    <w:rsid w:val="00E815CA"/>
    <w:rsid w:val="00E87369"/>
    <w:rsid w:val="00E910EE"/>
    <w:rsid w:val="00EC4102"/>
    <w:rsid w:val="00EE2909"/>
    <w:rsid w:val="00EE315D"/>
    <w:rsid w:val="00EF638A"/>
    <w:rsid w:val="00F06566"/>
    <w:rsid w:val="00F2131A"/>
    <w:rsid w:val="00F466DD"/>
    <w:rsid w:val="00F61E58"/>
    <w:rsid w:val="00F87F61"/>
    <w:rsid w:val="00F94511"/>
    <w:rsid w:val="019D3188"/>
    <w:rsid w:val="1E75445E"/>
    <w:rsid w:val="540F23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qFormat/>
    <w:uiPriority w:val="0"/>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3"/>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段"/>
    <w:basedOn w:val="1"/>
    <w:qFormat/>
    <w:uiPriority w:val="0"/>
    <w:pPr>
      <w:widowControl/>
      <w:autoSpaceDE w:val="0"/>
      <w:autoSpaceDN w:val="0"/>
      <w:ind w:firstLine="200" w:firstLineChars="200"/>
    </w:pPr>
    <w:rPr>
      <w:rFonts w:hint="eastAsia" w:ascii="宋体" w:hAnsi="Calibri" w:eastAsia="宋体" w:cs="Times New Roman"/>
      <w:kern w:val="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2</Pages>
  <Words>902</Words>
  <Characters>943</Characters>
  <Lines>7</Lines>
  <Paragraphs>2</Paragraphs>
  <TotalTime>21</TotalTime>
  <ScaleCrop>false</ScaleCrop>
  <LinksUpToDate>false</LinksUpToDate>
  <CharactersWithSpaces>979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2020-05-18T07:45:00Z</dcterms:created>
  <dc:creator>888</dc:creator>
  <cp:lastModifiedBy>大锅饭1378525060</cp:lastModifiedBy>
  <dcterms:modified xsi:type="dcterms:W3CDTF">2022-10-23T13:51:07Z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B25DCC1659034E65AD4EA604D8D406BA</vt:lpwstr>
  </property>
</Properties>
</file>